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autoSpaceDE w:val="0"/>
        <w:autoSpaceDN w:val="0"/>
        <w:adjustRightInd w:val="0"/>
        <w:spacing w:line="720" w:lineRule="exact"/>
        <w:ind w:right="51" w:firstLine="1083" w:firstLineChars="294"/>
        <w:jc w:val="center"/>
        <w:rPr>
          <w:rFonts w:hint="default" w:ascii="Arial" w:hAnsi="Arial" w:eastAsia="宋体" w:cs="Arial"/>
          <w:kern w:val="0"/>
          <w:sz w:val="36"/>
          <w:szCs w:val="36"/>
          <w:lang w:val="en-US" w:eastAsia="zh-CN"/>
        </w:rPr>
      </w:pPr>
      <w:bookmarkStart w:id="0" w:name="OLE_LINK1"/>
      <w:bookmarkStart w:id="1" w:name="OLE_LINK27"/>
      <w:bookmarkStart w:id="2" w:name="OLE_LINK26"/>
      <w:r>
        <w:rPr>
          <w:rFonts w:hint="eastAsia" w:ascii="Arial" w:hAnsi="Arial" w:cs="Arial"/>
          <w:b/>
          <w:spacing w:val="2"/>
          <w:w w:val="101"/>
          <w:kern w:val="0"/>
          <w:sz w:val="36"/>
          <w:szCs w:val="36"/>
          <w:lang w:val="en-US" w:eastAsia="zh-CN"/>
        </w:rPr>
        <w:t>SI8250A/B双组份光学级液体硅胶</w:t>
      </w:r>
    </w:p>
    <w:bookmarkEnd w:id="0"/>
    <w:p>
      <w:pPr>
        <w:widowControl/>
        <w:jc w:val="left"/>
        <w:rPr>
          <w:rFonts w:hint="eastAsia" w:ascii="Arial Narrow" w:hAnsi="Arial Narrow"/>
          <w:b/>
          <w:color w:val="0D0D0D"/>
          <w:sz w:val="28"/>
          <w:szCs w:val="28"/>
          <w:lang w:val="en-US" w:eastAsia="zh-CN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eastAsia" w:ascii="Arial Narrow" w:hAnsi="Arial Narrow"/>
          <w:b/>
          <w:color w:val="0D0D0D"/>
          <w:sz w:val="28"/>
          <w:szCs w:val="28"/>
          <w:lang w:val="en-US" w:eastAsia="zh-CN"/>
        </w:rPr>
        <w:t>技术参数</w:t>
      </w:r>
    </w:p>
    <w:tbl>
      <w:tblPr>
        <w:tblStyle w:val="8"/>
        <w:tblW w:w="9880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126"/>
        <w:gridCol w:w="2268"/>
        <w:gridCol w:w="46"/>
        <w:gridCol w:w="2314"/>
      </w:tblGrid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shd w:val="clear" w:color="auto" w:fill="000000" w:themeFill="text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FFC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FFC000"/>
                <w:sz w:val="21"/>
                <w:szCs w:val="21"/>
              </w:rPr>
              <w:t>测试项目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FFC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FFC000"/>
                <w:sz w:val="21"/>
                <w:szCs w:val="21"/>
              </w:rPr>
              <w:t>测试标准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FFC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bCs/>
                <w:iCs/>
                <w:color w:val="FFC000"/>
                <w:sz w:val="21"/>
                <w:szCs w:val="21"/>
              </w:rPr>
              <w:t>A组分</w:t>
            </w:r>
          </w:p>
        </w:tc>
        <w:tc>
          <w:tcPr>
            <w:tcW w:w="2360" w:type="dxa"/>
            <w:gridSpan w:val="2"/>
            <w:shd w:val="clear" w:color="auto" w:fill="000000" w:themeFill="text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FFC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bCs/>
                <w:iCs/>
                <w:color w:val="FFC000"/>
                <w:sz w:val="21"/>
                <w:szCs w:val="21"/>
              </w:rPr>
              <w:t>B组分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0" w:type="dxa"/>
            <w:gridSpan w:val="5"/>
            <w:shd w:val="clear" w:color="auto" w:fill="000000" w:themeFill="text1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highlight w:val="black"/>
              </w:rPr>
            </w:pPr>
            <w:r>
              <w:rPr>
                <w:rFonts w:hint="default" w:ascii="Times New Roman" w:hAnsi="Times New Roman" w:eastAsia="微软雅黑" w:cs="Times New Roman"/>
                <w:color w:val="FFC000"/>
                <w:sz w:val="21"/>
                <w:szCs w:val="21"/>
                <w:highlight w:val="black"/>
                <w:shd w:val="clear" w:fill="000000" w:themeFill="text1"/>
                <w:lang w:val="en-US" w:eastAsia="zh-CN"/>
              </w:rPr>
              <w:t>固化</w:t>
            </w:r>
            <w:r>
              <w:rPr>
                <w:rFonts w:hint="default" w:ascii="Times New Roman" w:hAnsi="Times New Roman" w:eastAsia="微软雅黑" w:cs="Times New Roman"/>
                <w:color w:val="FFC000"/>
                <w:sz w:val="21"/>
                <w:szCs w:val="21"/>
                <w:highlight w:val="black"/>
                <w:shd w:val="clear" w:fill="FFFFFF" w:themeFill="background1"/>
                <w:lang w:val="en-US" w:eastAsia="zh-CN"/>
              </w:rPr>
              <w:t>前特性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成分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C0C0C0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bCs/>
                <w:i/>
                <w:color w:val="000000"/>
                <w:sz w:val="21"/>
                <w:szCs w:val="21"/>
              </w:rPr>
              <w:t>聚硅氧烷类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bCs/>
                <w:i/>
                <w:color w:val="000000"/>
                <w:sz w:val="21"/>
                <w:szCs w:val="21"/>
              </w:rPr>
              <w:t>含氢聚硅氧烷类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外观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目测</w:t>
            </w:r>
          </w:p>
        </w:tc>
        <w:tc>
          <w:tcPr>
            <w:tcW w:w="2268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i/>
                <w:color w:val="000000"/>
                <w:sz w:val="21"/>
                <w:szCs w:val="21"/>
              </w:rPr>
              <w:t>无色透明流体</w:t>
            </w:r>
          </w:p>
        </w:tc>
        <w:tc>
          <w:tcPr>
            <w:tcW w:w="2360" w:type="dxa"/>
            <w:gridSpan w:val="2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i/>
                <w:color w:val="000000"/>
                <w:sz w:val="21"/>
                <w:szCs w:val="21"/>
              </w:rPr>
              <w:t>无色透明流体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粘度,cps , 25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</w:rPr>
              <w:t>℃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微软雅黑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000000"/>
                <w:sz w:val="21"/>
                <w:szCs w:val="21"/>
              </w:rPr>
              <w:t>GB/T 10247-2008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bCs/>
                <w:i/>
                <w:color w:val="000000"/>
                <w:sz w:val="21"/>
                <w:szCs w:val="21"/>
              </w:rPr>
              <w:t>4000-6000</w:t>
            </w: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bCs/>
                <w:i/>
                <w:color w:val="000000"/>
                <w:sz w:val="21"/>
                <w:szCs w:val="21"/>
              </w:rPr>
              <w:t>4000-6000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比重,g/cm3, 25℃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GB/T 15223-1994</w:t>
            </w:r>
          </w:p>
        </w:tc>
        <w:tc>
          <w:tcPr>
            <w:tcW w:w="2268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0.99</w:t>
            </w:r>
          </w:p>
        </w:tc>
        <w:tc>
          <w:tcPr>
            <w:tcW w:w="2360" w:type="dxa"/>
            <w:gridSpan w:val="2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0.99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分配方法</w:t>
            </w:r>
          </w:p>
        </w:tc>
        <w:tc>
          <w:tcPr>
            <w:tcW w:w="675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注射成型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混合比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质量比</w:t>
            </w:r>
          </w:p>
        </w:tc>
        <w:tc>
          <w:tcPr>
            <w:tcW w:w="4628" w:type="dxa"/>
            <w:gridSpan w:val="3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A：B = 100：100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工作时间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GB/T 10247-2008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25°C,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分钟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Merge w:val="continue"/>
            <w:tcBorders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°C,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分钟</w:t>
            </w:r>
          </w:p>
        </w:tc>
        <w:tc>
          <w:tcPr>
            <w:tcW w:w="2314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tcBorders>
              <w:bottom w:val="single" w:color="808080" w:sz="6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固化条件</w:t>
            </w:r>
          </w:p>
        </w:tc>
        <w:tc>
          <w:tcPr>
            <w:tcW w:w="2126" w:type="dxa"/>
            <w:tcBorders>
              <w:bottom w:val="single" w:color="808080" w:sz="6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GB/T 10247-2008</w:t>
            </w:r>
          </w:p>
        </w:tc>
        <w:tc>
          <w:tcPr>
            <w:tcW w:w="4628" w:type="dxa"/>
            <w:gridSpan w:val="3"/>
            <w:tcBorders>
              <w:bottom w:val="single" w:color="808080" w:sz="6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细黑" w:cs="Times New Roman"/>
                <w:kern w:val="0"/>
                <w:sz w:val="21"/>
                <w:szCs w:val="21"/>
              </w:rPr>
              <w:t>24hr@25</w:t>
            </w:r>
            <w:r>
              <w:rPr>
                <w:rFonts w:hint="default" w:ascii="Times New Roman" w:hAnsi="Times New Roman" w:eastAsia="华文细黑" w:cs="Times New Roman"/>
                <w:bCs/>
                <w:iCs/>
                <w:sz w:val="21"/>
                <w:szCs w:val="21"/>
              </w:rPr>
              <w:t>℃，或 60 mins@80℃    如需要粘接力，固化条件为3hrs@100℃。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0" w:type="dxa"/>
            <w:gridSpan w:val="5"/>
            <w:shd w:val="clear" w:color="auto" w:fill="000000" w:themeFill="text1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华文细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FFC000"/>
                <w:sz w:val="21"/>
                <w:szCs w:val="21"/>
                <w:shd w:val="clear" w:fill="000000" w:themeFill="text1"/>
              </w:rPr>
              <w:t>固化后特性</w:t>
            </w:r>
            <w:r>
              <w:rPr>
                <w:rFonts w:hint="default" w:ascii="Times New Roman" w:hAnsi="Times New Roman" w:eastAsia="微软雅黑" w:cs="Times New Roman"/>
                <w:color w:val="FFC000"/>
                <w:sz w:val="21"/>
                <w:szCs w:val="21"/>
                <w:shd w:val="clear" w:fill="000000" w:themeFill="text1"/>
                <w:lang w:val="en-US" w:eastAsia="zh-CN"/>
              </w:rPr>
              <w:t xml:space="preserve">  （</w:t>
            </w:r>
            <w:r>
              <w:rPr>
                <w:rFonts w:hint="default" w:ascii="Times New Roman" w:hAnsi="Times New Roman" w:eastAsia="华文细黑" w:cs="Times New Roman"/>
                <w:bCs/>
                <w:iCs/>
                <w:color w:val="FFC000"/>
                <w:sz w:val="21"/>
                <w:szCs w:val="21"/>
              </w:rPr>
              <w:t>固化条件： 60mins@80℃</w:t>
            </w:r>
            <w:r>
              <w:rPr>
                <w:rFonts w:hint="default" w:ascii="Times New Roman" w:hAnsi="Times New Roman" w:eastAsia="华文细黑" w:cs="Times New Roman"/>
                <w:bCs/>
                <w:iCs/>
                <w:color w:val="FFC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硬化物外观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目测</w:t>
            </w:r>
          </w:p>
        </w:tc>
        <w:tc>
          <w:tcPr>
            <w:tcW w:w="462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透明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硬度, Shore A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GB/T 531-2008</w:t>
            </w:r>
          </w:p>
        </w:tc>
        <w:tc>
          <w:tcPr>
            <w:tcW w:w="4628" w:type="dxa"/>
            <w:gridSpan w:val="3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拉伸强度 Mpa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000000"/>
                <w:sz w:val="21"/>
                <w:szCs w:val="21"/>
              </w:rPr>
              <w:t>GB/T 528-2009</w:t>
            </w:r>
          </w:p>
        </w:tc>
        <w:tc>
          <w:tcPr>
            <w:tcW w:w="462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伸长率 100%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GB/T 531-2008</w:t>
            </w:r>
          </w:p>
        </w:tc>
        <w:tc>
          <w:tcPr>
            <w:tcW w:w="462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撕裂强度，N/mm2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000000"/>
                <w:sz w:val="21"/>
                <w:szCs w:val="21"/>
              </w:rPr>
              <w:t>GB/T 7124-2008</w:t>
            </w:r>
          </w:p>
        </w:tc>
        <w:tc>
          <w:tcPr>
            <w:tcW w:w="462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bookmarkStart w:id="3" w:name="OLE_LINK4"/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折光率,25℃</w:t>
            </w:r>
            <w:bookmarkEnd w:id="3"/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462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1.4120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透光率,%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450nm@1mm</w:t>
            </w:r>
          </w:p>
        </w:tc>
        <w:tc>
          <w:tcPr>
            <w:tcW w:w="4628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&gt; 90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体积电阻,DC 500V， Ω·CM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GB/T 1692-92</w:t>
            </w:r>
          </w:p>
        </w:tc>
        <w:tc>
          <w:tcPr>
            <w:tcW w:w="4628" w:type="dxa"/>
            <w:gridSpan w:val="3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×10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vertAlign w:val="superscript"/>
              </w:rPr>
              <w:t>15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损耗因素(1 MHz)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GB/T 1693-2007</w:t>
            </w:r>
          </w:p>
        </w:tc>
        <w:tc>
          <w:tcPr>
            <w:tcW w:w="462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介电常数(1 MHz)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GB/T 1693-2007</w:t>
            </w:r>
          </w:p>
        </w:tc>
        <w:tc>
          <w:tcPr>
            <w:tcW w:w="4628" w:type="dxa"/>
            <w:gridSpan w:val="3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离子含量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top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Na+</w:t>
            </w:r>
          </w:p>
        </w:tc>
        <w:tc>
          <w:tcPr>
            <w:tcW w:w="4628" w:type="dxa"/>
            <w:gridSpan w:val="3"/>
            <w:shd w:val="clear" w:color="auto" w:fill="D7D7D7" w:themeFill="background1" w:themeFillShade="D8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Merge w:val="continue"/>
            <w:tcBorders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D7D7D7" w:themeFill="background1" w:themeFillShade="D8"/>
            <w:vAlign w:val="top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K+</w:t>
            </w:r>
          </w:p>
        </w:tc>
        <w:tc>
          <w:tcPr>
            <w:tcW w:w="4628" w:type="dxa"/>
            <w:gridSpan w:val="3"/>
            <w:shd w:val="clear" w:color="auto" w:fill="D7D7D7" w:themeFill="background1" w:themeFillShade="D8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6" w:type="dxa"/>
            <w:vMerge w:val="continue"/>
            <w:tcBorders/>
            <w:shd w:val="clear" w:color="auto" w:fill="D7D7D7" w:themeFill="background1" w:themeFillShade="D8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D7D7D7" w:themeFill="background1" w:themeFillShade="D8"/>
            <w:vAlign w:val="top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Cl+</w:t>
            </w:r>
          </w:p>
        </w:tc>
        <w:tc>
          <w:tcPr>
            <w:tcW w:w="4628" w:type="dxa"/>
            <w:gridSpan w:val="3"/>
            <w:shd w:val="clear" w:color="auto" w:fill="D7D7D7" w:themeFill="background1" w:themeFillShade="D8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lang w:val="en-US" w:eastAsia="zh-CN"/>
              </w:rPr>
              <w:t>0.9</w:t>
            </w:r>
          </w:p>
        </w:tc>
      </w:tr>
    </w:tbl>
    <w:p>
      <w:pPr>
        <w:ind w:right="-34" w:rightChars="-16"/>
        <w:rPr>
          <w:rFonts w:hint="default" w:ascii="Times New Roman" w:hAnsi="Times New Roman" w:eastAsia="华文细黑" w:cs="Times New Roman"/>
          <w:sz w:val="18"/>
          <w:szCs w:val="18"/>
        </w:rPr>
      </w:pPr>
      <w:r>
        <w:rPr>
          <w:rFonts w:hint="default" w:ascii="Times New Roman" w:hAnsi="Times New Roman" w:eastAsia="华文细黑" w:cs="Times New Roman"/>
          <w:sz w:val="18"/>
          <w:szCs w:val="18"/>
        </w:rPr>
        <w:t xml:space="preserve">PS: </w:t>
      </w:r>
      <w:r>
        <w:rPr>
          <w:rFonts w:hint="default" w:ascii="Times New Roman" w:hAnsi="Times New Roman" w:eastAsia="华文细黑" w:cs="Times New Roman"/>
          <w:bCs/>
          <w:iCs/>
          <w:sz w:val="18"/>
          <w:szCs w:val="18"/>
        </w:rPr>
        <w:t>操作时间及固化时间是以配胶量100g来测试的。</w:t>
      </w:r>
    </w:p>
    <w:p>
      <w:pPr>
        <w:widowControl/>
        <w:jc w:val="left"/>
        <w:rPr>
          <w:rFonts w:hint="eastAsia" w:ascii="Times New Roman" w:hAnsi="Times New Roman" w:eastAsia="华文细黑" w:cs="Times New Roman"/>
          <w:color w:val="0D0D0D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628" w:right="1416" w:bottom="1440" w:left="1440" w:header="567" w:footer="901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华文细黑" w:cs="Times New Roman"/>
          <w:bCs/>
          <w:iCs/>
          <w:sz w:val="18"/>
          <w:szCs w:val="18"/>
        </w:rPr>
        <w:t>固化状态所有数据都在25℃、55%RH条件下胶固化7天后测定所得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 Narrow" w:hAnsi="Arial Narrow" w:eastAsia="宋体"/>
          <w:b/>
          <w:color w:val="0D0D0D"/>
          <w:sz w:val="28"/>
          <w:szCs w:val="28"/>
          <w:lang w:val="en-US" w:eastAsia="zh-CN"/>
        </w:rPr>
      </w:pPr>
      <w:bookmarkStart w:id="13" w:name="_GoBack"/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eastAsia" w:ascii="Cambria Math" w:hAnsi="Cambria Math" w:cs="Cambria Math"/>
          <w:b/>
          <w:bCs/>
          <w:color w:val="0D0D0D"/>
          <w:sz w:val="32"/>
          <w:szCs w:val="32"/>
          <w:lang w:val="en-US" w:eastAsia="zh-CN"/>
        </w:rPr>
        <w:t>产品描述</w:t>
      </w:r>
    </w:p>
    <w:bookmarkEnd w:id="13"/>
    <w:p>
      <w:pPr>
        <w:widowControl/>
        <w:spacing w:line="400" w:lineRule="exact"/>
        <w:rPr>
          <w:rFonts w:hint="eastAsia" w:ascii="Times New Roman" w:hAnsi="Times New Roman" w:eastAsia="微软雅黑" w:cs="Times New Roman"/>
          <w:color w:val="000000"/>
          <w:sz w:val="21"/>
          <w:szCs w:val="21"/>
          <w:lang w:val="en-US" w:eastAsia="zh-CN"/>
        </w:rPr>
      </w:pPr>
      <w:bookmarkStart w:id="4" w:name="OLE_LINK15"/>
      <w:bookmarkStart w:id="5" w:name="OLE_LINK29"/>
      <w:bookmarkStart w:id="6" w:name="OLE_LINK28"/>
      <w:bookmarkStart w:id="7" w:name="OLE_LINK16"/>
      <w:r>
        <w:rPr>
          <w:rFonts w:hint="eastAsia" w:ascii="Times New Roman" w:hAnsi="Times New Roman" w:eastAsia="微软雅黑" w:cs="Times New Roman"/>
          <w:color w:val="000000"/>
          <w:sz w:val="21"/>
          <w:szCs w:val="21"/>
          <w:lang w:val="en-US" w:eastAsia="zh-CN"/>
        </w:rPr>
        <w:t>SI</w:t>
      </w:r>
      <w:r>
        <w:rPr>
          <w:rFonts w:hint="default" w:ascii="Times New Roman" w:hAnsi="Times New Roman" w:eastAsia="微软雅黑" w:cs="Times New Roman"/>
          <w:color w:val="000000"/>
          <w:sz w:val="21"/>
          <w:szCs w:val="21"/>
          <w:lang w:val="en-US" w:eastAsia="zh-CN"/>
        </w:rPr>
        <w:t>8250为高纯度的双组份热固化型有机硅材料。主要设计用于制造光器件模组，并可用于注射成型光学透镜和光波导耦合减少了散射损失，抵抗环境的污染、湿气、冲击、振动等的影响，并可在广泛的温度、湿度及恶劣环境条件下长期保持其光学特性、机械特性和电气特性的稳定</w:t>
      </w:r>
      <w:r>
        <w:rPr>
          <w:rFonts w:hint="eastAsia" w:ascii="Times New Roman" w:hAnsi="Times New Roman" w:eastAsia="微软雅黑" w:cs="Times New Roman"/>
          <w:color w:val="000000"/>
          <w:sz w:val="21"/>
          <w:szCs w:val="21"/>
          <w:lang w:val="en-US" w:eastAsia="zh-CN"/>
        </w:rPr>
        <w:t>。</w:t>
      </w:r>
    </w:p>
    <w:bookmarkEnd w:id="4"/>
    <w:bookmarkEnd w:id="5"/>
    <w:bookmarkEnd w:id="6"/>
    <w:bookmarkEnd w:id="7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Cambria Math" w:hAnsi="Cambria Math" w:eastAsia="宋体" w:cs="Cambria Math"/>
          <w:color w:val="0D0D0D"/>
          <w:sz w:val="32"/>
          <w:szCs w:val="32"/>
          <w:lang w:val="en-US" w:eastAsia="zh-CN"/>
        </w:rPr>
      </w:pPr>
      <w:r>
        <w:rPr>
          <w:rFonts w:hint="eastAsia" w:ascii="Cambria Math" w:hAnsi="Cambria Math" w:cs="Cambria Math"/>
          <w:color w:val="0D0D0D"/>
          <w:sz w:val="32"/>
          <w:szCs w:val="32"/>
          <w:lang w:val="en-US" w:eastAsia="zh-CN"/>
        </w:rPr>
        <w:t>主要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Cambria Math" w:hAnsi="Cambria Math" w:cs="Cambria Math"/>
          <w:color w:val="0D0D0D"/>
          <w:sz w:val="32"/>
          <w:szCs w:val="32"/>
          <w:lang w:val="en-US" w:eastAsia="zh-CN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default" w:ascii="Cambria Math" w:hAnsi="Cambria Math" w:cs="Cambria Math"/>
          <w:b/>
          <w:bCs/>
          <w:color w:val="0D0D0D"/>
          <w:sz w:val="32"/>
          <w:szCs w:val="32"/>
          <w:lang w:val="en-US" w:eastAsia="zh-CN"/>
        </w:rPr>
        <w:t>包装规格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华文细黑" w:cs="Times New Roman"/>
          <w:color w:val="000000"/>
          <w:sz w:val="22"/>
          <w:szCs w:val="22"/>
        </w:rPr>
        <w:t>A 0105500， B0105501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A组分：500g/瓶 ； B组分：500g/瓶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A组分：5000g/桶 ；B组分：5000g/桶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  <w:t>储存及运输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ascii="Arial" w:hAnsi="Arial" w:eastAsia="华文细黑" w:cs="Arial"/>
          <w:szCs w:val="21"/>
        </w:rPr>
      </w:pPr>
      <w:r>
        <w:rPr>
          <w:rFonts w:hint="eastAsia" w:ascii="Arial" w:hAnsi="Arial" w:eastAsia="华文细黑" w:cs="Arial"/>
          <w:szCs w:val="21"/>
        </w:rPr>
        <w:t>保存期限：20</w:t>
      </w:r>
      <w:r>
        <w:rPr>
          <w:rFonts w:ascii="Arial" w:hAnsi="华文细黑" w:eastAsia="华文细黑" w:cs="Arial"/>
        </w:rPr>
        <w:t>℃</w:t>
      </w:r>
      <w:r>
        <w:rPr>
          <w:rFonts w:hint="eastAsia" w:ascii="Arial" w:hAnsi="华文细黑" w:eastAsia="华文细黑" w:cs="Arial"/>
        </w:rPr>
        <w:t>下12个月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Arial" w:hAnsi="Arial" w:eastAsia="华文细黑" w:cs="Arial"/>
          <w:szCs w:val="21"/>
        </w:rPr>
      </w:pPr>
      <w:r>
        <w:rPr>
          <w:rFonts w:hint="eastAsia" w:ascii="Arial" w:hAnsi="华文细黑" w:eastAsia="华文细黑" w:cs="Arial"/>
          <w:szCs w:val="21"/>
        </w:rPr>
        <w:t>20</w:t>
      </w:r>
      <w:r>
        <w:rPr>
          <w:rFonts w:ascii="Arial" w:hAnsi="华文细黑" w:eastAsia="华文细黑" w:cs="Arial"/>
        </w:rPr>
        <w:t>℃</w:t>
      </w:r>
      <w:r>
        <w:rPr>
          <w:rFonts w:hint="eastAsia" w:ascii="Arial" w:hAnsi="华文细黑" w:eastAsia="华文细黑" w:cs="Arial"/>
        </w:rPr>
        <w:t>以下保存，避免阳光直射，保存在通风的地方。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ascii="Arial" w:hAnsi="Arial" w:eastAsia="华文细黑" w:cs="Arial"/>
          <w:szCs w:val="21"/>
        </w:rPr>
      </w:pPr>
      <w:r>
        <w:rPr>
          <w:rFonts w:hint="eastAsia" w:ascii="Arial" w:hAnsi="华文细黑" w:eastAsia="华文细黑" w:cs="Arial"/>
        </w:rPr>
        <w:t>未用完的产品应该重新密封保存，建议冲入干燥清洁的氮气后密封保存。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eastAsia="宋体"/>
          <w:color w:val="0D0D0D"/>
          <w:lang w:val="en" w:eastAsia="zh-CN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eastAsia"/>
          <w:b/>
          <w:bCs/>
          <w:color w:val="0D0D0D"/>
          <w:sz w:val="28"/>
          <w:szCs w:val="28"/>
          <w:lang w:val="en-US" w:eastAsia="zh-CN"/>
        </w:rPr>
        <w:t>注意事项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基材表面应该清洁干燥。可以加热去除基材表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面的湿气;可以用石脑油、甲基乙基酮肟(MEK)或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其他适合的溶剂清洗基材表面。不应该使用对基材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有溶解或腐蚀的溶剂，不应该使用有残留的溶剂。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保持准确称量到清洁的玻璃容器中，并充分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混合均匀。使用高速的搅拌设备混合时，高速搅拌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产生的热量有可能使胶的温度升高，从而缩短使用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时间。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在10mmHg的真空下脱出气泡。一般在分配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封装材料之前脱出气泡。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大多数情况下，聚硅氧烷是适合在-45℃到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200℃下长时间工作，短时间最高可耐350℃，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right="-764" w:rightChars="-364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具体使用中，最好根据实际的要求进行测试。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材料在未固化前，不能接触含N\P\S等有机物，不能接触Sn\Pb\Hg\Bi\As等离子型化合物，不能接触含乙炔\乙烯基的活性化合物，不能接触过氧化物，不能接触水气和醇类化合物。这些物质达到一定浓度时会阻碍材料固化，具体表现为三种现象：一直处于流动状态完全不固化、和基材基础表面有薄层处于流体或拉斯状态、和基材接触表面有微笑的气泡。使用前应充分实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加热固化时应使用可换气的热风烘箱，防止固化过程中产生的微量氢气积累而产生爆炸危险。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  <w:sectPr>
          <w:type w:val="continuous"/>
          <w:pgSz w:w="11906" w:h="16838"/>
          <w:pgMar w:top="1440" w:right="1080" w:bottom="1440" w:left="1080" w:header="851" w:footer="992" w:gutter="0"/>
          <w:cols w:equalWidth="0" w:num="2">
            <w:col w:w="4660" w:space="425"/>
            <w:col w:w="466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  <w:sectPr>
          <w:type w:val="continuous"/>
          <w:pgSz w:w="11906" w:h="16838"/>
          <w:pgMar w:top="1440" w:right="1080" w:bottom="1440" w:left="1080" w:header="851" w:footer="992" w:gutter="0"/>
          <w:cols w:equalWidth="0" w:num="2">
            <w:col w:w="4660" w:space="425"/>
            <w:col w:w="466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Cambria Math" w:hAnsi="Cambria Math" w:cs="Cambria Math"/>
          <w:color w:val="0D0D0D"/>
          <w:sz w:val="32"/>
          <w:szCs w:val="32"/>
          <w:lang w:val="en-US" w:eastAsia="zh-CN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bookmarkStart w:id="8" w:name="OLE_LINK14"/>
      <w:bookmarkStart w:id="9" w:name="OLE_LINK19"/>
      <w:bookmarkStart w:id="10" w:name="OLE_LINK13"/>
      <w:r>
        <w:rPr>
          <w:rFonts w:hint="default" w:ascii="Cambria Math" w:hAnsi="Cambria Math" w:cs="Cambria Math"/>
          <w:b/>
          <w:bCs/>
          <w:color w:val="0D0D0D"/>
          <w:sz w:val="32"/>
          <w:szCs w:val="32"/>
          <w:lang w:val="en-US" w:eastAsia="zh-CN"/>
        </w:rPr>
        <w:t>包装规格</w:t>
      </w:r>
    </w:p>
    <w:bookmarkEnd w:id="8"/>
    <w:bookmarkEnd w:id="9"/>
    <w:bookmarkEnd w:id="10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华文细黑" w:cs="Times New Roman"/>
          <w:color w:val="000000"/>
          <w:sz w:val="22"/>
          <w:szCs w:val="22"/>
        </w:rPr>
        <w:t>A 0105500， B0105501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A组分：500g/瓶 ； B组分：500g/瓶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A组分：5000g/桶 ；B组分：5000g/桶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60" w:lineRule="auto"/>
        <w:jc w:val="left"/>
        <w:textAlignment w:val="auto"/>
        <w:outlineLvl w:val="1"/>
        <w:rPr>
          <w:rFonts w:hint="eastAsia" w:ascii="Arial Narrow" w:hAnsi="Arial Narrow"/>
          <w:b/>
          <w:color w:val="0D0D0D"/>
          <w:sz w:val="28"/>
          <w:szCs w:val="28"/>
          <w:lang w:val="en-US" w:eastAsia="zh-CN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eastAsia" w:ascii="Arial Narrow" w:hAnsi="Arial Narrow"/>
          <w:b/>
          <w:color w:val="0D0D0D"/>
          <w:sz w:val="28"/>
          <w:szCs w:val="28"/>
          <w:lang w:val="en-US" w:eastAsia="zh-CN"/>
        </w:rPr>
        <w:t>主要特性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 xml:space="preserve">高透明性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 xml:space="preserve">优异的耐热性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 xml:space="preserve">长期防紫外线A和紫外线B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 xml:space="preserve">不黄变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 xml:space="preserve">快速固化和快速脱模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 xml:space="preserve">极为精确的制模效果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default" w:ascii="Times New Roman" w:hAnsi="Times New Roman" w:eastAsia="华文细黑" w:cs="Times New Roman"/>
          <w:sz w:val="22"/>
          <w:szCs w:val="22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华文细黑" w:cs="Times New Roman"/>
          <w:sz w:val="22"/>
          <w:szCs w:val="22"/>
        </w:rPr>
        <w:t>比玻璃</w:t>
      </w:r>
      <w:r>
        <w:rPr>
          <w:rFonts w:hint="eastAsia" w:eastAsia="华文细黑" w:cs="Times New Roman"/>
          <w:sz w:val="22"/>
          <w:szCs w:val="22"/>
          <w:lang w:val="en-US" w:eastAsia="zh-CN"/>
        </w:rPr>
        <w:t>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Cambria Math" w:hAnsi="Cambria Math" w:cs="Cambria Math"/>
          <w:color w:val="0D0D0D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  <w:t>储存及运输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ascii="Arial" w:hAnsi="Arial" w:eastAsia="华文细黑" w:cs="Arial"/>
          <w:szCs w:val="21"/>
        </w:rPr>
      </w:pPr>
      <w:r>
        <w:rPr>
          <w:rFonts w:hint="eastAsia" w:ascii="Arial" w:hAnsi="Arial" w:eastAsia="华文细黑" w:cs="Arial"/>
          <w:szCs w:val="21"/>
        </w:rPr>
        <w:t>保存期限：20</w:t>
      </w:r>
      <w:r>
        <w:rPr>
          <w:rFonts w:ascii="Arial" w:hAnsi="华文细黑" w:eastAsia="华文细黑" w:cs="Arial"/>
        </w:rPr>
        <w:t>℃</w:t>
      </w:r>
      <w:r>
        <w:rPr>
          <w:rFonts w:hint="eastAsia" w:ascii="Arial" w:hAnsi="华文细黑" w:eastAsia="华文细黑" w:cs="Arial"/>
        </w:rPr>
        <w:t>下12个月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Arial" w:hAnsi="Arial" w:eastAsia="华文细黑" w:cs="Arial"/>
          <w:szCs w:val="21"/>
        </w:rPr>
      </w:pPr>
      <w:r>
        <w:rPr>
          <w:rFonts w:hint="eastAsia" w:ascii="Arial" w:hAnsi="华文细黑" w:eastAsia="华文细黑" w:cs="Arial"/>
          <w:szCs w:val="21"/>
        </w:rPr>
        <w:t>20</w:t>
      </w:r>
      <w:r>
        <w:rPr>
          <w:rFonts w:ascii="Arial" w:hAnsi="华文细黑" w:eastAsia="华文细黑" w:cs="Arial"/>
        </w:rPr>
        <w:t>℃</w:t>
      </w:r>
      <w:r>
        <w:rPr>
          <w:rFonts w:hint="eastAsia" w:ascii="Arial" w:hAnsi="华文细黑" w:eastAsia="华文细黑" w:cs="Arial"/>
        </w:rPr>
        <w:t>以下保存，避免阳光直射，保存在通风的地方。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ascii="Arial" w:hAnsi="Arial" w:eastAsia="华文细黑" w:cs="Arial"/>
          <w:szCs w:val="21"/>
        </w:rPr>
      </w:pPr>
      <w:r>
        <w:rPr>
          <w:rFonts w:hint="eastAsia" w:ascii="Arial" w:hAnsi="华文细黑" w:eastAsia="华文细黑" w:cs="Arial"/>
        </w:rPr>
        <w:t>未用完的产品应该重新密封保存，建议冲入干燥清洁的氮气后密封保存。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eastAsia" w:eastAsia="宋体"/>
          <w:color w:val="0D0D0D"/>
          <w:lang w:val="en" w:eastAsia="zh-CN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eastAsia"/>
          <w:b/>
          <w:bCs/>
          <w:color w:val="0D0D0D"/>
          <w:sz w:val="28"/>
          <w:szCs w:val="28"/>
          <w:lang w:val="en-US" w:eastAsia="zh-CN"/>
        </w:rPr>
        <w:t>注意事项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基材表面应该清洁干燥。可以加热去除基材表面的湿气;可以用石脑油、甲基乙基酮肟(MEK)或其他适合的溶剂清洗基材表面。不应该使用对基材有溶解或腐蚀的溶剂，不应该使用有残留的溶剂。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保持准确称量到清洁的玻璃容器中，并充分混合均匀。使用高速的搅拌设备混合时，高速搅拌产生的热量有可能使胶的温度升高，从而缩短使用时间。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在10mmHg的真空下脱出气泡。一般在分配封装材料之前脱出气泡。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大多数情况下，聚硅氧烷是适合在-45℃到200℃下长时间工作，短时间最高可耐350℃，具体使用中，最好根据实际的要求进行测试。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材料在未固化前，不能接触含N\P\S等有机物，不能接触Sn\Pb\Hg\Bi\As等离子型化合物，不能接触含乙炔\乙烯基的活性化合物，不能接触过氧化物，不能接触水气和醇类化合物。这些物质达到一定浓度时会阻碍材料固化，具体表现为三种现象：一直处于流动状态完全不固化、和基材基础表面有薄层处于流体或拉斯状态、和基材接触表面有微笑的气泡。使用前应充分实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right="-764" w:rightChars="-364" w:firstLine="0"/>
        <w:textAlignment w:val="auto"/>
        <w:rPr>
          <w:rFonts w:hint="eastAsia" w:ascii="Times New Roman" w:hAnsi="Times New Roman" w:eastAsia="华文细黑" w:cs="Times New Roman"/>
          <w:sz w:val="22"/>
          <w:szCs w:val="22"/>
        </w:rPr>
      </w:pPr>
      <w:r>
        <w:rPr>
          <w:rFonts w:hint="eastAsia" w:ascii="Times New Roman" w:hAnsi="Times New Roman" w:eastAsia="华文细黑" w:cs="Times New Roman"/>
          <w:sz w:val="22"/>
          <w:szCs w:val="22"/>
        </w:rPr>
        <w:t>加热固化时应使用可换气的热风烘箱，防止固化过程中产生的微量氢气积累而产生爆炸危险。</w:t>
      </w:r>
    </w:p>
    <w:p>
      <w:pPr>
        <w:widowControl/>
        <w:spacing w:line="276" w:lineRule="auto"/>
        <w:jc w:val="left"/>
        <w:rPr>
          <w:rFonts w:ascii="Cambria Math" w:hAnsi="Cambria Math" w:cs="Cambria Math"/>
          <w:color w:val="0D0D0D"/>
          <w:sz w:val="32"/>
          <w:szCs w:val="32"/>
        </w:rPr>
        <w:sectPr>
          <w:type w:val="continuous"/>
          <w:pgSz w:w="11906" w:h="16838"/>
          <w:pgMar w:top="1628" w:right="1416" w:bottom="1440" w:left="1440" w:header="567" w:footer="901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20" w:lineRule="exact"/>
        <w:rPr>
          <w:rFonts w:hint="default" w:ascii="Times New Roman" w:hAnsi="Times New Roman" w:eastAsia="微软雅黑" w:cs="Times New Roman"/>
          <w:color w:val="000000"/>
          <w:sz w:val="21"/>
          <w:szCs w:val="21"/>
        </w:rPr>
      </w:pPr>
    </w:p>
    <w:p>
      <w:pPr>
        <w:rPr>
          <w:rFonts w:hint="eastAsia"/>
        </w:rPr>
        <w:sectPr>
          <w:type w:val="continuous"/>
          <w:pgSz w:w="11906" w:h="16838"/>
          <w:pgMar w:top="1628" w:right="1416" w:bottom="1440" w:left="1440" w:header="567" w:footer="901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bookmarkEnd w:id="1"/>
    <w:bookmarkEnd w:id="2"/>
    <w:p>
      <w:pPr>
        <w:pStyle w:val="7"/>
        <w:spacing w:before="0" w:beforeAutospacing="0" w:after="0" w:afterAutospacing="0" w:line="560" w:lineRule="exact"/>
        <w:jc w:val="both"/>
        <w:rPr>
          <w:rFonts w:ascii="Cambria Math" w:hAnsi="Cambria Math" w:cs="Cambria Math"/>
          <w:color w:val="0D0D0D"/>
          <w:sz w:val="32"/>
          <w:szCs w:val="32"/>
        </w:rPr>
        <w:sectPr>
          <w:type w:val="continuous"/>
          <w:pgSz w:w="11906" w:h="16838"/>
          <w:pgMar w:top="1628" w:right="1416" w:bottom="1440" w:left="1440" w:header="567" w:footer="901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4312" w:space="425"/>
            <w:col w:w="4312"/>
          </w:cols>
          <w:docGrid w:type="lines" w:linePitch="312" w:charSpace="0"/>
        </w:sect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Arial Narrow" w:hAnsi="Arial Narrow"/>
          <w:b/>
          <w:color w:val="0D0D0D"/>
          <w:sz w:val="28"/>
          <w:szCs w:val="28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安全操作资料</w:t>
      </w:r>
    </w:p>
    <w:p>
      <w:pPr>
        <w:spacing w:line="320" w:lineRule="exact"/>
        <w:rPr>
          <w:rFonts w:hint="default" w:ascii="Times New Roman" w:hAnsi="Times New Roman" w:eastAsia="微软雅黑" w:cs="Times New Roman"/>
          <w:bCs/>
          <w:iCs/>
          <w:sz w:val="21"/>
          <w:szCs w:val="21"/>
        </w:rPr>
      </w:pPr>
      <w:bookmarkStart w:id="11" w:name="OLE_LINK3"/>
      <w:bookmarkStart w:id="12" w:name="OLE_LINK2"/>
      <w:r>
        <w:rPr>
          <w:rFonts w:hint="default" w:ascii="Times New Roman" w:hAnsi="Times New Roman" w:eastAsia="微软雅黑" w:cs="Times New Roman"/>
          <w:bCs/>
          <w:iCs/>
          <w:sz w:val="21"/>
          <w:szCs w:val="21"/>
        </w:rPr>
        <w:t>这里不是完全的产品安全资料。在使用前，请注意阅读产品资料、产品安全资料及包装标签以便安全使用。产品安全资料可以从</w:t>
      </w:r>
      <w:r>
        <w:rPr>
          <w:rFonts w:hint="eastAsia" w:eastAsia="微软雅黑" w:cs="Times New Roman"/>
          <w:bCs/>
          <w:iCs/>
          <w:sz w:val="21"/>
          <w:szCs w:val="21"/>
          <w:lang w:val="en-US" w:eastAsia="zh-CN"/>
        </w:rPr>
        <w:t>MAXTECH</w:t>
      </w:r>
      <w:r>
        <w:rPr>
          <w:rFonts w:hint="default" w:ascii="Times New Roman" w:hAnsi="Times New Roman" w:eastAsia="微软雅黑" w:cs="Times New Roman"/>
          <w:bCs/>
          <w:iCs/>
          <w:sz w:val="21"/>
          <w:szCs w:val="21"/>
        </w:rPr>
        <w:t>及各分销商处获得，也可以写邮件给</w:t>
      </w:r>
      <w:r>
        <w:rPr>
          <w:rFonts w:hint="eastAsia" w:eastAsia="微软雅黑" w:cs="Times New Roman"/>
          <w:bCs/>
          <w:iCs/>
          <w:sz w:val="21"/>
          <w:szCs w:val="21"/>
          <w:lang w:val="en-US" w:eastAsia="zh-CN"/>
        </w:rPr>
        <w:t>MAXTECH</w:t>
      </w:r>
      <w:r>
        <w:rPr>
          <w:rFonts w:hint="default" w:ascii="Times New Roman" w:hAnsi="Times New Roman" w:eastAsia="微软雅黑" w:cs="Times New Roman"/>
          <w:bCs/>
          <w:iCs/>
          <w:sz w:val="21"/>
          <w:szCs w:val="21"/>
        </w:rPr>
        <w:t>服务中心</w:t>
      </w:r>
      <w:r>
        <w:rPr>
          <w:rFonts w:hint="eastAsia" w:eastAsia="微软雅黑" w:cs="Times New Roman"/>
          <w:bCs/>
          <w:iCs/>
          <w:sz w:val="21"/>
          <w:szCs w:val="21"/>
          <w:lang w:val="en-US" w:eastAsia="zh-CN"/>
        </w:rPr>
        <w:t>MAXTECH@SHMAXTECH.COM</w:t>
      </w:r>
      <w:r>
        <w:rPr>
          <w:rFonts w:hint="default" w:ascii="Times New Roman" w:hAnsi="Times New Roman" w:eastAsia="微软雅黑" w:cs="Times New Roman"/>
          <w:bCs/>
          <w:iCs/>
          <w:sz w:val="21"/>
          <w:szCs w:val="21"/>
        </w:rPr>
        <w:t>。</w:t>
      </w:r>
    </w:p>
    <w:p>
      <w:pPr>
        <w:pStyle w:val="7"/>
        <w:spacing w:before="0" w:beforeAutospacing="0" w:after="0" w:afterAutospacing="0" w:line="560" w:lineRule="exact"/>
        <w:jc w:val="both"/>
        <w:rPr>
          <w:rFonts w:ascii="Arial" w:hAnsi="微软雅黑" w:eastAsia="微软雅黑" w:cs="Arial"/>
          <w:color w:val="000000"/>
        </w:rPr>
      </w:pPr>
      <w:r>
        <w:rPr>
          <w:rFonts w:ascii="Cambria Math" w:hAnsi="Cambria Math" w:cs="Cambria Math"/>
          <w:color w:val="0D0D0D"/>
          <w:sz w:val="32"/>
          <w:szCs w:val="32"/>
        </w:rPr>
        <w:t>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质量保证书—请仔细阅读</w:t>
      </w:r>
    </w:p>
    <w:bookmarkEnd w:id="11"/>
    <w:bookmarkEnd w:id="12"/>
    <w:p>
      <w:pPr>
        <w:spacing w:line="320" w:lineRule="exact"/>
        <w:rPr>
          <w:rFonts w:hint="default" w:ascii="Times New Roman" w:hAnsi="Times New Roman" w:eastAsia="微软雅黑" w:cs="Times New Roman"/>
          <w:bCs/>
          <w:iCs/>
          <w:sz w:val="21"/>
          <w:szCs w:val="21"/>
        </w:rPr>
      </w:pPr>
      <w:r>
        <w:rPr>
          <w:rFonts w:hint="default" w:ascii="Times New Roman" w:hAnsi="Times New Roman" w:eastAsia="微软雅黑" w:cs="Times New Roman"/>
          <w:bCs/>
          <w:iCs/>
          <w:sz w:val="21"/>
          <w:szCs w:val="21"/>
        </w:rPr>
        <w:t>我们保证这里所包含的产品性能、使用信息都是准确而可靠的。但是，您在使用之前还是应对其性能、安全使用等方面进行测试。应用的建议不能视为在任何状态下都适用。</w:t>
      </w:r>
    </w:p>
    <w:p>
      <w:pPr>
        <w:spacing w:line="320" w:lineRule="exact"/>
        <w:ind w:firstLine="400" w:firstLineChars="200"/>
        <w:rPr>
          <w:rFonts w:hint="eastAsia" w:ascii="Arial" w:hAnsi="微软雅黑" w:eastAsia="微软雅黑" w:cs="Arial"/>
          <w:bCs/>
          <w:iCs/>
          <w:sz w:val="20"/>
        </w:rPr>
        <w:sectPr>
          <w:type w:val="continuous"/>
          <w:pgSz w:w="11906" w:h="16838"/>
          <w:pgMar w:top="1628" w:right="1416" w:bottom="1440" w:left="1440" w:header="567" w:footer="901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20" w:lineRule="exact"/>
        <w:ind w:firstLine="400" w:firstLineChars="200"/>
        <w:rPr>
          <w:rFonts w:hint="eastAsia" w:ascii="Arial" w:hAnsi="微软雅黑" w:eastAsia="微软雅黑" w:cs="Arial"/>
          <w:bCs/>
          <w:iCs/>
          <w:sz w:val="20"/>
        </w:rPr>
      </w:pPr>
    </w:p>
    <w:p/>
    <w:p/>
    <w:p/>
    <w:p>
      <w:pPr>
        <w:rPr>
          <w:rFonts w:hint="eastAsia"/>
          <w:color w:val="0D0D0D"/>
        </w:rPr>
      </w:pPr>
    </w:p>
    <w:sectPr>
      <w:type w:val="continuous"/>
      <w:pgSz w:w="11906" w:h="16838"/>
      <w:pgMar w:top="1628" w:right="1416" w:bottom="1440" w:left="1440" w:header="567" w:footer="901" w:gutter="0"/>
      <w:pgBorders w:zOrder="back"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4312" w:space="425"/>
        <w:col w:w="4312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color w:val="000000"/>
        <w:lang w:val="en-US" w:eastAsia="zh-CN"/>
      </w:rPr>
    </w:pPr>
    <w:r>
      <w:rPr>
        <w:rFonts w:ascii="Helvetica" w:hAnsi="Helvetica"/>
        <w:kern w:val="0"/>
      </w:rPr>
      <w:t>VERSION 1.05 / 20</w:t>
    </w:r>
    <w:r>
      <w:rPr>
        <w:rFonts w:hint="eastAsia" w:ascii="Helvetica" w:hAnsi="Helvetica"/>
        <w:kern w:val="0"/>
        <w:lang w:val="en-US" w:eastAsia="zh-CN"/>
      </w:rPr>
      <w:t>20</w:t>
    </w:r>
    <w:r>
      <w:rPr>
        <w:rFonts w:ascii="Helvetica" w:hAnsi="Helvetica"/>
        <w:kern w:val="0"/>
      </w:rPr>
      <w:t xml:space="preserve">-01       </w:t>
    </w:r>
    <w:r>
      <w:rPr>
        <w:rFonts w:hint="eastAsia" w:ascii="Helvetica" w:hAnsi="Helvetica"/>
        <w:kern w:val="0"/>
        <w:lang w:val="en-US" w:eastAsia="zh-CN"/>
      </w:rPr>
      <w:t>www.shmaxtech.com         MAX TECH        TECHNICAL DATA SHEET</w:t>
    </w:r>
    <w:r>
      <w:rPr>
        <w:rFonts w:ascii="Helvetica" w:hAnsi="Helvetica"/>
        <w:kern w:val="0"/>
      </w:rPr>
      <w:t xml:space="preserve">                </w:t>
    </w:r>
    <w:r>
      <w:rPr>
        <w:rFonts w:hint="eastAsia" w:ascii="Helvetica" w:hAnsi="Helvetica"/>
        <w:kern w:val="0"/>
        <w:lang w:val="en-US" w:eastAsia="zh-CN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b/>
        <w:sz w:val="48"/>
        <w:szCs w:val="48"/>
      </w:rPr>
    </w:pPr>
    <w:r>
      <w:rPr>
        <w:rFonts w:hint="eastAsia"/>
        <w:b/>
        <w:sz w:val="48"/>
        <w:szCs w:val="48"/>
        <w:lang w:val="en-US" w:eastAsia="zh-CN"/>
      </w:rPr>
      <w:t xml:space="preserve">SI8250A/B  </w:t>
    </w:r>
    <w:r>
      <w:rPr>
        <w:rFonts w:hint="eastAsia"/>
      </w:rPr>
      <w:t xml:space="preserve">                          </w:t>
    </w:r>
    <w:r>
      <w:rPr>
        <w:rFonts w:hint="eastAsia"/>
        <w:lang w:val="en-US" w:eastAsia="zh-CN"/>
      </w:rPr>
      <w:t xml:space="preserve">        </w:t>
    </w:r>
    <w:r>
      <w:rPr>
        <w:rFonts w:hint="eastAsia"/>
        <w:b/>
        <w:sz w:val="48"/>
        <w:szCs w:val="48"/>
      </w:rPr>
      <w:drawing>
        <wp:inline distT="0" distB="0" distL="114300" distR="114300">
          <wp:extent cx="1719580" cy="775335"/>
          <wp:effectExtent l="0" t="0" r="13970" b="5715"/>
          <wp:docPr id="4" name="图片 3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小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958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pBdr>
        <w:bottom w:val="none" w:color="auto" w:sz="0" w:space="0"/>
      </w:pBdr>
      <w:ind w:right="105"/>
      <w:jc w:val="left"/>
      <w:rPr>
        <w:rFonts w:hint="default" w:eastAsia="宋体"/>
        <w:b/>
        <w:sz w:val="28"/>
        <w:szCs w:val="28"/>
        <w:lang w:val="en-US" w:eastAsia="zh-CN"/>
      </w:rPr>
    </w:pPr>
    <w:r>
      <w:rPr>
        <w:rFonts w:hint="eastAsia" w:ascii="微软雅黑" w:hAnsi="微软雅黑" w:eastAsia="微软雅黑" w:cs="Arial"/>
        <w:b/>
        <w:spacing w:val="2"/>
        <w:w w:val="101"/>
        <w:kern w:val="0"/>
        <w:sz w:val="28"/>
        <w:szCs w:val="36"/>
        <w:lang w:val="en-US" w:eastAsia="zh-CN"/>
      </w:rPr>
      <w:t>光学级液体硅</w:t>
    </w:r>
    <w:r>
      <w:rPr>
        <w:rFonts w:hint="eastAsia" w:ascii="微软雅黑" w:hAnsi="微软雅黑" w:eastAsia="微软雅黑" w:cs="Arial"/>
        <w:b/>
        <w:spacing w:val="2"/>
        <w:w w:val="101"/>
        <w:kern w:val="0"/>
        <w:sz w:val="28"/>
        <w:szCs w:val="36"/>
      </w:rPr>
      <w:t>胶</w: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294640</wp:posOffset>
              </wp:positionV>
              <wp:extent cx="5876925" cy="63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63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BFBFB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2pt;margin-top:23.2pt;height:0.05pt;width:462.75pt;z-index:251659264;mso-width-relative:page;mso-height-relative:page;" filled="f" stroked="t" coordsize="21600,21600" o:gfxdata="UEsDBAoAAAAAAIdO4kAAAAAAAAAAAAAAAAAEAAAAZHJzL1BLAwQUAAAACACHTuJAfjU709kAAAAI&#10;AQAADwAAAGRycy9kb3ducmV2LnhtbE2PMU/DMBCFdyT+g3VILKh1EkpVQpwOkViQGEgR6ujGRxwR&#10;n0PspIVfz3Wi0+nuPb37XrE9uV7MOIbOk4J0mYBAarzpqFXwvntebECEqMno3hMq+MEA2/L6qtC5&#10;8Ud6w7mOreAQCrlWYGMccilDY9HpsPQDEmuffnQ68jq20oz6yOGul1mSrKXTHfEHqwesLDZf9eQU&#10;VJt+rurq9bf+3tuX3V07fezdpNTtTZo8gYh4iv9mOOMzOpTMdPATmSB6BYtsxU4FqzVP1h+z+xTE&#10;4Xx4AFkW8rJA+QdQSwMEFAAAAAgAh07iQNecC1nhAQAAmQMAAA4AAABkcnMvZTJvRG9jLnhtbK1T&#10;S44TMRDdI3EHy3vSSVAyQyudkZgQNggiAQeo2O5uS/7J5Uknl+ACSOxgxZL93IbhGJSdkOGzQQhF&#10;qpRd5Vf1XlUvrvbWsJ2KqL1r+GQ05kw54aV2XcPfvlk/uuQMEzgJxjvV8INCfrV8+GAxhFpNfe+N&#10;VJERiMN6CA3vUwp1VaHolQUc+aAcBVsfLSQ6xq6SEQZCt6aajsfzavBRhuiFQqTb1THIlwW/bZVI&#10;r9oWVWKm4dRbKjYWu822Wi6g7iKEXotTG/APXVjQjoqeoVaQgN1E/QeU1SJ69G0aCW8r37ZaqMKB&#10;2EzGv7F53UNQhQuJg+EsE/4/WPFyt4lMy4bPOHNgaUR37798fffx2+0HsnefP7FZFmkIWFPutdvE&#10;0wnDJmbG+zba/E9c2L4IezgLq/aJCbqcXV7Mn0ypgqDY/HFBrO6fhojpufKWZafhRrvMGmrYvcBE&#10;5Sj1R0q+No4NtGvTizFNVABtTWsgkWsD8UDXlcfojZZrbUx+grHbXpvIdkB78HSdf5kVAf+Slqus&#10;APtjXgkdN6RXIJ85ydIhkEKOVpnnHqySnBlFm589AoQ6gTZ/k0mljaMOsrBHKbO39fJA87gJUXc9&#10;STEpXeYIzb/0e9rVvGA/nwvS/Re1/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+NTvT2QAAAAgB&#10;AAAPAAAAAAAAAAEAIAAAACIAAABkcnMvZG93bnJldi54bWxQSwECFAAUAAAACACHTuJA15wLWeEB&#10;AACZAwAADgAAAAAAAAABACAAAAAoAQAAZHJzL2Uyb0RvYy54bWxQSwUGAAAAAAYABgBZAQAAewUA&#10;AAAA&#10;">
              <v:fill on="f" focussize="0,0"/>
              <v:stroke weight="1pt" color="#BFBFBF" joinstyle="round"/>
              <v:imagedata o:title=""/>
              <o:lock v:ext="edit" aspectratio="f"/>
            </v:lin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294640</wp:posOffset>
              </wp:positionV>
              <wp:extent cx="587692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63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BFBFB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1.2pt;margin-top:23.2pt;height:0.05pt;width:462.75pt;z-index:251658240;mso-width-relative:page;mso-height-relative:page;" filled="f" stroked="t" coordsize="21600,21600" o:gfxdata="UEsDBAoAAAAAAIdO4kAAAAAAAAAAAAAAAAAEAAAAZHJzL1BLAwQUAAAACACHTuJAfjU709kAAAAI&#10;AQAADwAAAGRycy9kb3ducmV2LnhtbE2PMU/DMBCFdyT+g3VILKh1EkpVQpwOkViQGEgR6ujGRxwR&#10;n0PspIVfz3Wi0+nuPb37XrE9uV7MOIbOk4J0mYBAarzpqFXwvntebECEqMno3hMq+MEA2/L6qtC5&#10;8Ud6w7mOreAQCrlWYGMccilDY9HpsPQDEmuffnQ68jq20oz6yOGul1mSrKXTHfEHqwesLDZf9eQU&#10;VJt+rurq9bf+3tuX3V07fezdpNTtTZo8gYh4iv9mOOMzOpTMdPATmSB6BYtsxU4FqzVP1h+z+xTE&#10;4Xx4AFkW8rJA+QdQSwMEFAAAAAgAh07iQHt3gvPTAQAAkAMAAA4AAABkcnMvZTJvRG9jLnhtbK1T&#10;S44TMRDdI3EHy3vSnQzJDK10RmJC2CCINHCAiu3utuSfXJ50chauwYoNx5lrUHZChs8GIdSSu+x6&#10;fl3vVfXy9mAN26uI2ruWTyc1Z8oJL7XrW/7p4+bFDWeYwEkw3qmWHxXy29XzZ8sxNGrmB2+kioxI&#10;HDZjaPmQUmiqCsWgLODEB+Uo2floIdE29pWMMBK7NdWsrhfV6KMM0QuFSKfrU5KvCn/XKZE+dB2q&#10;xEzLqbZU1ljWXV6r1RKaPkIYtDiXAf9QhQXt6KMXqjUkYA9R/0FltYgefZcmwtvKd50WqmggNdP6&#10;NzX3AwRVtJA5GC424f+jFe/328i0bPkVZw4stejx85fHr9/Yy+zNGLAhyJ3bxvMOwzZmoYcu2vwm&#10;CexQ/Dxe/FSHxAQdzm+uF69mc84E5RZX88xYPV0NEdNb5S3LQcuNdlksNLB/h+kE/QHJx8axkUZs&#10;dl1TIwXQsHQGEoU2UPno+nIZvdFyo43JVzD2uzsT2R6o/a83+TnX8Assf2UNOJxwJZVh0AwK5Bsn&#10;WToGMsbRBPNcg1WSM6No4HNUkAm0+RskyTeOXMjGnqzM0c7LI7XhIUTdD2TFtFSZM9T24tl5RPNc&#10;/bwvTE8/0uo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jU709kAAAAIAQAADwAAAAAAAAABACAA&#10;AAAiAAAAZHJzL2Rvd25yZXYueG1sUEsBAhQAFAAAAAgAh07iQHt3gvPTAQAAkAMAAA4AAAAAAAAA&#10;AQAgAAAAKAEAAGRycy9lMm9Eb2MueG1sUEsFBgAAAAAGAAYAWQEAAG0FAAAAAA==&#10;">
              <v:fill on="f" focussize="0,0"/>
              <v:stroke weight="1pt" color="#BFBFBF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sz w:val="28"/>
        <w:szCs w:val="28"/>
        <w:lang w:val="en-US" w:eastAsia="zh-CN"/>
      </w:rPr>
      <w:t xml:space="preserve">                              </w:t>
    </w:r>
    <w:r>
      <w:rPr>
        <w:rFonts w:hint="eastAsia" w:ascii="Times New Roman" w:hAnsi="Times New Roman" w:cs="Times New Roman"/>
        <w:b w:val="0"/>
        <w:bCs w:val="0"/>
        <w:color w:val="E36C09"/>
        <w:sz w:val="18"/>
        <w:szCs w:val="18"/>
        <w:lang w:val="en-US" w:eastAsia="zh-CN"/>
      </w:rPr>
      <w:t>Pr</w:t>
    </w:r>
    <w:r>
      <w:rPr>
        <w:rFonts w:hint="default" w:ascii="Times New Roman" w:hAnsi="Times New Roman" w:cs="Times New Roman"/>
        <w:b w:val="0"/>
        <w:bCs w:val="0"/>
        <w:color w:val="E36C09"/>
        <w:sz w:val="18"/>
        <w:szCs w:val="18"/>
        <w:lang w:val="en-US" w:eastAsia="zh-CN"/>
      </w:rPr>
      <w:t xml:space="preserve">emium </w:t>
    </w:r>
    <w:r>
      <w:rPr>
        <w:rFonts w:hint="eastAsia" w:ascii="Times New Roman" w:hAnsi="Times New Roman" w:cs="Times New Roman"/>
        <w:b w:val="0"/>
        <w:bCs w:val="0"/>
        <w:color w:val="E36C09"/>
        <w:sz w:val="18"/>
        <w:szCs w:val="18"/>
        <w:lang w:val="en-US" w:eastAsia="zh-CN"/>
      </w:rPr>
      <w:t>Q</w:t>
    </w:r>
    <w:r>
      <w:rPr>
        <w:rFonts w:hint="default" w:ascii="Times New Roman" w:hAnsi="Times New Roman" w:cs="Times New Roman"/>
        <w:b w:val="0"/>
        <w:bCs w:val="0"/>
        <w:color w:val="E36C09"/>
        <w:sz w:val="18"/>
        <w:szCs w:val="18"/>
        <w:lang w:val="en-US" w:eastAsia="zh-CN"/>
      </w:rPr>
      <w:t>uality</w:t>
    </w:r>
    <w:r>
      <w:rPr>
        <w:rFonts w:hint="default" w:ascii="Times New Roman" w:hAnsi="Times New Roman" w:cs="Times New Roman"/>
        <w:b w:val="0"/>
        <w:bCs w:val="0"/>
        <w:color w:val="auto"/>
        <w:sz w:val="18"/>
        <w:szCs w:val="18"/>
        <w:lang w:val="en-US" w:eastAsia="zh-CN"/>
      </w:rPr>
      <w:t xml:space="preserve"> &amp;</w:t>
    </w:r>
    <w:r>
      <w:rPr>
        <w:rFonts w:hint="eastAsia" w:ascii="Times New Roman" w:hAnsi="Times New Roman" w:cs="Times New Roman"/>
        <w:b w:val="0"/>
        <w:bCs w:val="0"/>
        <w:color w:val="auto"/>
        <w:sz w:val="18"/>
        <w:szCs w:val="18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b w:val="0"/>
        <w:bCs w:val="0"/>
        <w:i w:val="0"/>
        <w:caps w:val="0"/>
        <w:color w:val="1F497D"/>
        <w:spacing w:val="0"/>
        <w:sz w:val="18"/>
        <w:szCs w:val="18"/>
        <w:u w:val="none"/>
        <w:shd w:val="clear" w:color="auto" w:fill="FFFFFF"/>
      </w:rPr>
      <w:fldChar w:fldCharType="begin"/>
    </w:r>
    <w:r>
      <w:rPr>
        <w:rFonts w:hint="default" w:ascii="Times New Roman" w:hAnsi="Times New Roman" w:eastAsia="宋体" w:cs="Times New Roman"/>
        <w:b w:val="0"/>
        <w:bCs w:val="0"/>
        <w:i w:val="0"/>
        <w:caps w:val="0"/>
        <w:color w:val="1F497D"/>
        <w:spacing w:val="0"/>
        <w:sz w:val="18"/>
        <w:szCs w:val="18"/>
        <w:u w:val="none"/>
        <w:shd w:val="clear" w:color="auto" w:fill="FFFFFF"/>
      </w:rPr>
      <w:instrText xml:space="preserve"> HYPERLINK "C:/Users/Administrator/AppData/Local/youdao/dict/Application/8.9.4.0/resultui/html/index.html" \l "/javascript:;" </w:instrText>
    </w:r>
    <w:r>
      <w:rPr>
        <w:rFonts w:hint="default" w:ascii="Times New Roman" w:hAnsi="Times New Roman" w:eastAsia="宋体" w:cs="Times New Roman"/>
        <w:b w:val="0"/>
        <w:bCs w:val="0"/>
        <w:i w:val="0"/>
        <w:caps w:val="0"/>
        <w:color w:val="1F497D"/>
        <w:spacing w:val="0"/>
        <w:sz w:val="18"/>
        <w:szCs w:val="18"/>
        <w:u w:val="none"/>
        <w:shd w:val="clear" w:color="auto" w:fill="FFFFFF"/>
      </w:rPr>
      <w:fldChar w:fldCharType="separate"/>
    </w:r>
    <w:r>
      <w:rPr>
        <w:rFonts w:hint="eastAsia" w:ascii="Times New Roman" w:hAnsi="Times New Roman" w:eastAsia="宋体" w:cs="Times New Roman"/>
        <w:b w:val="0"/>
        <w:bCs w:val="0"/>
        <w:i w:val="0"/>
        <w:caps w:val="0"/>
        <w:color w:val="1F497D"/>
        <w:spacing w:val="0"/>
        <w:sz w:val="18"/>
        <w:szCs w:val="18"/>
        <w:u w:val="none"/>
        <w:shd w:val="clear" w:color="auto" w:fill="FFFFFF"/>
        <w:lang w:val="en-US" w:eastAsia="zh-CN"/>
      </w:rPr>
      <w:t>U</w:t>
    </w:r>
    <w:r>
      <w:rPr>
        <w:rStyle w:val="10"/>
        <w:rFonts w:hint="default" w:ascii="Times New Roman" w:hAnsi="Times New Roman" w:eastAsia="宋体" w:cs="Times New Roman"/>
        <w:b w:val="0"/>
        <w:bCs w:val="0"/>
        <w:i w:val="0"/>
        <w:caps w:val="0"/>
        <w:color w:val="1F497D"/>
        <w:spacing w:val="0"/>
        <w:sz w:val="18"/>
        <w:szCs w:val="18"/>
        <w:u w:val="none"/>
        <w:shd w:val="clear" w:color="auto" w:fill="FFFFFF"/>
      </w:rPr>
      <w:t>ltimate</w:t>
    </w:r>
    <w:r>
      <w:rPr>
        <w:rFonts w:hint="default" w:ascii="Times New Roman" w:hAnsi="Times New Roman" w:eastAsia="宋体" w:cs="Times New Roman"/>
        <w:b w:val="0"/>
        <w:bCs w:val="0"/>
        <w:i w:val="0"/>
        <w:caps w:val="0"/>
        <w:color w:val="1F497D"/>
        <w:spacing w:val="0"/>
        <w:sz w:val="18"/>
        <w:szCs w:val="18"/>
        <w:u w:val="none"/>
        <w:shd w:val="clear" w:color="auto" w:fill="FFFFFF"/>
      </w:rPr>
      <w:fldChar w:fldCharType="end"/>
    </w:r>
    <w:r>
      <w:rPr>
        <w:rFonts w:hint="default" w:ascii="Times New Roman" w:hAnsi="Times New Roman" w:eastAsia="宋体" w:cs="Times New Roman"/>
        <w:b w:val="0"/>
        <w:bCs w:val="0"/>
        <w:i w:val="0"/>
        <w:caps w:val="0"/>
        <w:color w:val="1F497D"/>
        <w:spacing w:val="0"/>
        <w:sz w:val="18"/>
        <w:szCs w:val="18"/>
        <w:shd w:val="clear" w:color="auto" w:fill="FFFFFF"/>
      </w:rPr>
      <w:t> </w:t>
    </w:r>
    <w:r>
      <w:rPr>
        <w:rFonts w:hint="default" w:ascii="Times New Roman" w:hAnsi="Times New Roman" w:eastAsia="宋体" w:cs="Times New Roman"/>
        <w:b w:val="0"/>
        <w:bCs w:val="0"/>
        <w:i w:val="0"/>
        <w:caps w:val="0"/>
        <w:color w:val="1F497D"/>
        <w:spacing w:val="0"/>
        <w:sz w:val="18"/>
        <w:szCs w:val="18"/>
        <w:shd w:val="clear" w:color="auto" w:fill="FFFFFF"/>
        <w:lang w:val="en-US" w:eastAsia="zh-CN"/>
      </w:rPr>
      <w:t>Service</w:t>
    </w:r>
  </w:p>
  <w:p>
    <w:pPr>
      <w:pStyle w:val="6"/>
      <w:pBdr>
        <w:bottom w:val="none" w:color="auto" w:sz="0" w:space="0"/>
      </w:pBdr>
      <w:ind w:right="105"/>
      <w:jc w:val="left"/>
      <w:rPr>
        <w:rFonts w:hint="eastAsi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23C5"/>
    <w:multiLevelType w:val="multilevel"/>
    <w:tmpl w:val="16FD23C5"/>
    <w:lvl w:ilvl="0" w:tentative="0">
      <w:start w:val="1"/>
      <w:numFmt w:val="bullet"/>
      <w:lvlText w:val=""/>
      <w:lvlJc w:val="left"/>
      <w:pPr>
        <w:ind w:left="-28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55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97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39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81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23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65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072" w:hanging="420"/>
      </w:pPr>
      <w:rPr>
        <w:rFonts w:hint="default" w:ascii="Wingdings" w:hAnsi="Wingdings"/>
      </w:rPr>
    </w:lvl>
  </w:abstractNum>
  <w:abstractNum w:abstractNumId="1">
    <w:nsid w:val="463B05FA"/>
    <w:multiLevelType w:val="multilevel"/>
    <w:tmpl w:val="463B05FA"/>
    <w:lvl w:ilvl="0" w:tentative="0">
      <w:start w:val="1"/>
      <w:numFmt w:val="bullet"/>
      <w:lvlText w:val=""/>
      <w:lvlJc w:val="left"/>
      <w:pPr>
        <w:ind w:left="-28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55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97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39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81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23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65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072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E5"/>
    <w:rsid w:val="000223CF"/>
    <w:rsid w:val="0005748B"/>
    <w:rsid w:val="00063D0E"/>
    <w:rsid w:val="000653F5"/>
    <w:rsid w:val="0007071D"/>
    <w:rsid w:val="00074289"/>
    <w:rsid w:val="00081B94"/>
    <w:rsid w:val="000925D6"/>
    <w:rsid w:val="0009419B"/>
    <w:rsid w:val="000B4B29"/>
    <w:rsid w:val="000E44E5"/>
    <w:rsid w:val="000E4765"/>
    <w:rsid w:val="000F30FD"/>
    <w:rsid w:val="00102CEA"/>
    <w:rsid w:val="00104D89"/>
    <w:rsid w:val="00120D02"/>
    <w:rsid w:val="0012178C"/>
    <w:rsid w:val="0014110B"/>
    <w:rsid w:val="00147A2D"/>
    <w:rsid w:val="00161DE7"/>
    <w:rsid w:val="00193C5B"/>
    <w:rsid w:val="001A052F"/>
    <w:rsid w:val="001C09E9"/>
    <w:rsid w:val="001C4961"/>
    <w:rsid w:val="001C4EC7"/>
    <w:rsid w:val="001E0FF0"/>
    <w:rsid w:val="001E30F5"/>
    <w:rsid w:val="0021025C"/>
    <w:rsid w:val="00215FD1"/>
    <w:rsid w:val="00220CA5"/>
    <w:rsid w:val="00231487"/>
    <w:rsid w:val="0023429C"/>
    <w:rsid w:val="00262CCA"/>
    <w:rsid w:val="00262DC4"/>
    <w:rsid w:val="00275B79"/>
    <w:rsid w:val="00290E57"/>
    <w:rsid w:val="002A0DC0"/>
    <w:rsid w:val="002B3AC1"/>
    <w:rsid w:val="002C6C8E"/>
    <w:rsid w:val="002D1D2A"/>
    <w:rsid w:val="002F2B99"/>
    <w:rsid w:val="0030711E"/>
    <w:rsid w:val="003436A7"/>
    <w:rsid w:val="00350DDF"/>
    <w:rsid w:val="00362257"/>
    <w:rsid w:val="003A508A"/>
    <w:rsid w:val="003B3EBA"/>
    <w:rsid w:val="003B5001"/>
    <w:rsid w:val="003B6EA5"/>
    <w:rsid w:val="003C4C3B"/>
    <w:rsid w:val="003D0F19"/>
    <w:rsid w:val="00405F53"/>
    <w:rsid w:val="00417657"/>
    <w:rsid w:val="004303B9"/>
    <w:rsid w:val="00433594"/>
    <w:rsid w:val="004354F8"/>
    <w:rsid w:val="0043657A"/>
    <w:rsid w:val="00470D83"/>
    <w:rsid w:val="00472EF0"/>
    <w:rsid w:val="00487E9A"/>
    <w:rsid w:val="004A2A1A"/>
    <w:rsid w:val="004C7F3B"/>
    <w:rsid w:val="004D47C1"/>
    <w:rsid w:val="004E508E"/>
    <w:rsid w:val="00501B45"/>
    <w:rsid w:val="005215C0"/>
    <w:rsid w:val="0054370A"/>
    <w:rsid w:val="00544E10"/>
    <w:rsid w:val="0054511D"/>
    <w:rsid w:val="0055036A"/>
    <w:rsid w:val="005602C7"/>
    <w:rsid w:val="0058310D"/>
    <w:rsid w:val="0058655B"/>
    <w:rsid w:val="005A2E1A"/>
    <w:rsid w:val="005A3A9E"/>
    <w:rsid w:val="005C46CE"/>
    <w:rsid w:val="005D30D5"/>
    <w:rsid w:val="005D54FE"/>
    <w:rsid w:val="005E2BFD"/>
    <w:rsid w:val="006232E6"/>
    <w:rsid w:val="00634C26"/>
    <w:rsid w:val="0067161C"/>
    <w:rsid w:val="0067531A"/>
    <w:rsid w:val="006760BF"/>
    <w:rsid w:val="0067745E"/>
    <w:rsid w:val="0068062E"/>
    <w:rsid w:val="0069439F"/>
    <w:rsid w:val="006A7AE2"/>
    <w:rsid w:val="006B1A18"/>
    <w:rsid w:val="006B56E7"/>
    <w:rsid w:val="006B75F9"/>
    <w:rsid w:val="006C28D9"/>
    <w:rsid w:val="006D37A0"/>
    <w:rsid w:val="00702391"/>
    <w:rsid w:val="007123FC"/>
    <w:rsid w:val="00732AE8"/>
    <w:rsid w:val="00735ADF"/>
    <w:rsid w:val="00747B56"/>
    <w:rsid w:val="00751587"/>
    <w:rsid w:val="00754B1B"/>
    <w:rsid w:val="00765BA5"/>
    <w:rsid w:val="007671E9"/>
    <w:rsid w:val="00795033"/>
    <w:rsid w:val="007B2522"/>
    <w:rsid w:val="00802DE7"/>
    <w:rsid w:val="00804709"/>
    <w:rsid w:val="00805C45"/>
    <w:rsid w:val="0081378D"/>
    <w:rsid w:val="00814D5E"/>
    <w:rsid w:val="0082379E"/>
    <w:rsid w:val="00824AE9"/>
    <w:rsid w:val="00835E89"/>
    <w:rsid w:val="0087571C"/>
    <w:rsid w:val="00891BA0"/>
    <w:rsid w:val="008C7BE7"/>
    <w:rsid w:val="008D3D4B"/>
    <w:rsid w:val="008D60E2"/>
    <w:rsid w:val="008E6F99"/>
    <w:rsid w:val="00931182"/>
    <w:rsid w:val="00963A15"/>
    <w:rsid w:val="009646C6"/>
    <w:rsid w:val="0096472C"/>
    <w:rsid w:val="00987EED"/>
    <w:rsid w:val="009A3BF7"/>
    <w:rsid w:val="009B2F90"/>
    <w:rsid w:val="009B42FD"/>
    <w:rsid w:val="009B760B"/>
    <w:rsid w:val="009D0418"/>
    <w:rsid w:val="009D1385"/>
    <w:rsid w:val="00A0651C"/>
    <w:rsid w:val="00A06978"/>
    <w:rsid w:val="00A127CD"/>
    <w:rsid w:val="00A13525"/>
    <w:rsid w:val="00A16449"/>
    <w:rsid w:val="00A24361"/>
    <w:rsid w:val="00A27788"/>
    <w:rsid w:val="00A31AF6"/>
    <w:rsid w:val="00A63EFD"/>
    <w:rsid w:val="00A70EFC"/>
    <w:rsid w:val="00A92964"/>
    <w:rsid w:val="00AA3B3E"/>
    <w:rsid w:val="00AD3AA2"/>
    <w:rsid w:val="00AD7414"/>
    <w:rsid w:val="00B14D39"/>
    <w:rsid w:val="00B15314"/>
    <w:rsid w:val="00B23A21"/>
    <w:rsid w:val="00B37CC4"/>
    <w:rsid w:val="00B54CBF"/>
    <w:rsid w:val="00B64417"/>
    <w:rsid w:val="00B650C3"/>
    <w:rsid w:val="00B65D86"/>
    <w:rsid w:val="00B86FD3"/>
    <w:rsid w:val="00BB32EC"/>
    <w:rsid w:val="00BB38B3"/>
    <w:rsid w:val="00BB73BA"/>
    <w:rsid w:val="00BD6D6F"/>
    <w:rsid w:val="00C12F34"/>
    <w:rsid w:val="00C2347D"/>
    <w:rsid w:val="00C27C4D"/>
    <w:rsid w:val="00C315BE"/>
    <w:rsid w:val="00C41376"/>
    <w:rsid w:val="00C423E7"/>
    <w:rsid w:val="00C5675D"/>
    <w:rsid w:val="00C75BF3"/>
    <w:rsid w:val="00CA5A26"/>
    <w:rsid w:val="00CA62D9"/>
    <w:rsid w:val="00CB44D3"/>
    <w:rsid w:val="00CC3984"/>
    <w:rsid w:val="00CD06D3"/>
    <w:rsid w:val="00CD0EDB"/>
    <w:rsid w:val="00CD122C"/>
    <w:rsid w:val="00CE70C5"/>
    <w:rsid w:val="00CF6356"/>
    <w:rsid w:val="00D13BC3"/>
    <w:rsid w:val="00D3084F"/>
    <w:rsid w:val="00D319AA"/>
    <w:rsid w:val="00D34068"/>
    <w:rsid w:val="00D3407E"/>
    <w:rsid w:val="00D34823"/>
    <w:rsid w:val="00D36704"/>
    <w:rsid w:val="00D45BFF"/>
    <w:rsid w:val="00D5307E"/>
    <w:rsid w:val="00D5686A"/>
    <w:rsid w:val="00D605DA"/>
    <w:rsid w:val="00D7057E"/>
    <w:rsid w:val="00D7331C"/>
    <w:rsid w:val="00D856E9"/>
    <w:rsid w:val="00D95ACC"/>
    <w:rsid w:val="00DB3626"/>
    <w:rsid w:val="00DB3CD0"/>
    <w:rsid w:val="00DC3FAE"/>
    <w:rsid w:val="00E0441D"/>
    <w:rsid w:val="00E17DDB"/>
    <w:rsid w:val="00E2566A"/>
    <w:rsid w:val="00E31ACE"/>
    <w:rsid w:val="00E32EB0"/>
    <w:rsid w:val="00E46B52"/>
    <w:rsid w:val="00E83261"/>
    <w:rsid w:val="00E85BDC"/>
    <w:rsid w:val="00E92554"/>
    <w:rsid w:val="00EB12E3"/>
    <w:rsid w:val="00EE1552"/>
    <w:rsid w:val="00EF0EB2"/>
    <w:rsid w:val="00F076AC"/>
    <w:rsid w:val="00F1215B"/>
    <w:rsid w:val="00F217D3"/>
    <w:rsid w:val="00F31EC3"/>
    <w:rsid w:val="00F331DD"/>
    <w:rsid w:val="00F767CB"/>
    <w:rsid w:val="00FA0740"/>
    <w:rsid w:val="00FB1D00"/>
    <w:rsid w:val="00FD6482"/>
    <w:rsid w:val="00FE7445"/>
    <w:rsid w:val="02377D22"/>
    <w:rsid w:val="08E551FE"/>
    <w:rsid w:val="0AA40141"/>
    <w:rsid w:val="0B220D6C"/>
    <w:rsid w:val="10437C7E"/>
    <w:rsid w:val="15ED0730"/>
    <w:rsid w:val="16D4594F"/>
    <w:rsid w:val="1F0F3507"/>
    <w:rsid w:val="30C9418E"/>
    <w:rsid w:val="33DA795F"/>
    <w:rsid w:val="34D2441F"/>
    <w:rsid w:val="361A2469"/>
    <w:rsid w:val="370137E2"/>
    <w:rsid w:val="38DE2B9F"/>
    <w:rsid w:val="3E891A87"/>
    <w:rsid w:val="3EFD4FD6"/>
    <w:rsid w:val="3FA342FE"/>
    <w:rsid w:val="40886274"/>
    <w:rsid w:val="42AA76F6"/>
    <w:rsid w:val="43F956D6"/>
    <w:rsid w:val="47334660"/>
    <w:rsid w:val="4A8530C7"/>
    <w:rsid w:val="4C4F41EB"/>
    <w:rsid w:val="4C902010"/>
    <w:rsid w:val="5356756C"/>
    <w:rsid w:val="5B4B4D4E"/>
    <w:rsid w:val="5B5D16E9"/>
    <w:rsid w:val="5FE94861"/>
    <w:rsid w:val="5FFF1DFF"/>
    <w:rsid w:val="6B6B6D6A"/>
    <w:rsid w:val="70275FAE"/>
    <w:rsid w:val="71C61CA2"/>
    <w:rsid w:val="751B6864"/>
    <w:rsid w:val="79E2453B"/>
    <w:rsid w:val="7CC62160"/>
    <w:rsid w:val="7CFB06AE"/>
    <w:rsid w:val="7EFA2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after="225" w:afterLines="0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lang w:val="en-US" w:eastAsia="zh-CN" w:bidi="ar-SA"/>
    </w:rPr>
  </w:style>
  <w:style w:type="character" w:customStyle="1" w:styleId="12">
    <w:name w:val="大标题"/>
    <w:qFormat/>
    <w:uiPriority w:val="0"/>
    <w:rPr>
      <w:rFonts w:ascii="Times New Roman" w:hAnsi="Times New Roman"/>
      <w:szCs w:val="28"/>
    </w:rPr>
  </w:style>
  <w:style w:type="character" w:customStyle="1" w:styleId="13">
    <w:name w:val="short_text"/>
    <w:basedOn w:val="9"/>
    <w:qFormat/>
    <w:uiPriority w:val="0"/>
  </w:style>
  <w:style w:type="character" w:customStyle="1" w:styleId="14">
    <w:name w:val="def"/>
    <w:basedOn w:val="9"/>
    <w:qFormat/>
    <w:uiPriority w:val="0"/>
  </w:style>
  <w:style w:type="character" w:customStyle="1" w:styleId="15">
    <w:name w:val="gt-icon-text1"/>
    <w:basedOn w:val="9"/>
    <w:qFormat/>
    <w:uiPriority w:val="0"/>
  </w:style>
  <w:style w:type="character" w:customStyle="1" w:styleId="16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highligh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Sepna Chemicals</Company>
  <Pages>3</Pages>
  <Words>1302</Words>
  <Characters>1764</Characters>
  <Lines>40</Lines>
  <Paragraphs>11</Paragraphs>
  <TotalTime>137</TotalTime>
  <ScaleCrop>false</ScaleCrop>
  <LinksUpToDate>false</LinksUpToDate>
  <CharactersWithSpaces>1826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2016-01-01T11:21:00Z</dcterms:created>
  <dc:creator>Administrator</dc:creator>
  <cp:lastModifiedBy>Sally---张敏</cp:lastModifiedBy>
  <cp:lastPrinted>2016-02-18T06:55:00Z</cp:lastPrinted>
  <dcterms:modified xsi:type="dcterms:W3CDTF">2020-10-26T12:46:34Z</dcterms:modified>
  <dc:title>Special Auto glass polyurethane adhesive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